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Style w:val="4"/>
          <w:rFonts w:hint="eastAsia" w:eastAsia="宋体" w:cs="宋体"/>
          <w:b/>
          <w:bCs/>
          <w:color w:val="191919"/>
          <w:sz w:val="24"/>
          <w:szCs w:val="24"/>
          <w:lang w:eastAsia="zh-CN"/>
        </w:rPr>
        <w:t>附件</w:t>
      </w:r>
      <w:r>
        <w:rPr>
          <w:rStyle w:val="4"/>
          <w:rFonts w:hint="eastAsia" w:eastAsia="宋体" w:cs="宋体"/>
          <w:b/>
          <w:bCs/>
          <w:color w:val="191919"/>
          <w:sz w:val="24"/>
          <w:szCs w:val="24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（单位）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50" w:firstLineChars="268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委托人（单位）：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法定代表人（负责人）：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职务：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3" w:firstLineChars="268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受委托人姓名：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3" w:firstLineChars="268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受委托人姓名：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电话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3" w:firstLineChars="268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现委托上列受委托人在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破产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重整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一案中，作为我方的委托代理人参与本案的重整投资人遴选活动。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代理人：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，代理权限为：以委托人名义签署、澄清、说明、补正、递交、接受、撤回、修改、参加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重整投资人遴选活动的各类文件，提出竞价要求，在竞价程序中报价，签订合同和处理有关事宜，其法律后果由委托人承担，委托期限至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重整投资人招募遴选活动终结。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代理人：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，代理权限为：同上。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000" w:firstLineChars="1250"/>
        <w:textAlignment w:val="auto"/>
        <w:outlineLvl w:val="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委托人（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盖章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000" w:firstLineChars="1250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(签名）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righ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二〇一八年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委托人：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3" w:firstLineChars="268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受委托人姓名：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职务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3" w:firstLineChars="268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受委托人姓名：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现委托上列受委托人在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破产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重整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一案中，作为我方的委托代理人参与本案的重整投资人遴选活动。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代理人：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，代理权限为：以委托人名义签署、澄清、说明、补正、递交、接受、撤回、修改、参加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重整投资人遴选活动的各类文件，提出竞价要求，在竞价程序中报价，签订合同和处理有关事宜，其法律后果由委托人承担，委托期限至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广东启光集团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、广东启光钢结构有限公司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重整投资人招募遴选活动终结。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代理人：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，代理权限为：同上。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321" w:firstLineChars="1384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321" w:firstLineChars="1384"/>
        <w:textAlignment w:val="auto"/>
        <w:outlineLvl w:val="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委托人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(签名）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right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二○一八年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43448"/>
    <w:rsid w:val="274434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2018-07-24T01:30:00Z</dcterms:created>
  <dc:creator>Jessie</dc:creator>
  <cp:lastModifiedBy>Jessie</cp:lastModifiedBy>
  <dcterms:modified xsi:type="dcterms:W3CDTF">2018-07-24T01:30:43Z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